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安晓斐</w:t>
      </w:r>
      <w:r>
        <w:rPr>
          <w:rFonts w:hint="eastAsia"/>
          <w:sz w:val="15"/>
          <w:szCs w:val="15"/>
          <w:highlight w:val="none"/>
        </w:rPr>
        <w:t>，</w:t>
      </w:r>
      <w:r>
        <w:rPr>
          <w:rFonts w:hint="eastAsia"/>
          <w:sz w:val="15"/>
          <w:szCs w:val="15"/>
          <w:highlight w:val="none"/>
          <w:lang w:val="en-US" w:eastAsia="zh-CN"/>
        </w:rPr>
        <w:t>13013119890623423X</w:t>
      </w:r>
      <w:r>
        <w:rPr>
          <w:rFonts w:hint="eastAsia"/>
          <w:sz w:val="15"/>
          <w:szCs w:val="15"/>
        </w:rPr>
        <w:t xml:space="preserve">  </w:t>
      </w:r>
      <w:r>
        <w:rPr>
          <w:rFonts w:hint="eastAsia"/>
          <w:sz w:val="15"/>
          <w:szCs w:val="15"/>
          <w:lang w:val="en-US" w:eastAsia="zh-CN"/>
        </w:rPr>
        <w:t>冀A64D15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