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郝亚杰</w:t>
      </w:r>
      <w:r>
        <w:rPr>
          <w:rFonts w:hint="eastAsia"/>
          <w:sz w:val="15"/>
          <w:szCs w:val="15"/>
          <w:highlight w:val="none"/>
        </w:rPr>
        <w:t>，</w:t>
      </w:r>
      <w:r>
        <w:rPr>
          <w:rFonts w:hint="eastAsia"/>
          <w:sz w:val="15"/>
          <w:szCs w:val="15"/>
          <w:highlight w:val="none"/>
          <w:lang w:val="en-US" w:eastAsia="zh-CN"/>
        </w:rPr>
        <w:t>130131198906100119</w:t>
      </w:r>
      <w:r>
        <w:rPr>
          <w:rFonts w:hint="eastAsia"/>
          <w:sz w:val="15"/>
          <w:szCs w:val="15"/>
        </w:rPr>
        <w:t xml:space="preserve">  </w:t>
      </w:r>
      <w:r>
        <w:rPr>
          <w:rFonts w:hint="eastAsia"/>
          <w:sz w:val="15"/>
          <w:szCs w:val="15"/>
          <w:lang w:val="en-US" w:eastAsia="zh-CN"/>
        </w:rPr>
        <w:t>沪A18290A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