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杨志仪</w:t>
      </w:r>
      <w:r>
        <w:rPr>
          <w:rFonts w:hint="eastAsia"/>
          <w:sz w:val="15"/>
          <w:szCs w:val="15"/>
          <w:highlight w:val="none"/>
        </w:rPr>
        <w:t>，</w:t>
      </w:r>
      <w:r>
        <w:rPr>
          <w:rFonts w:hint="eastAsia"/>
          <w:sz w:val="15"/>
          <w:szCs w:val="15"/>
          <w:highlight w:val="none"/>
          <w:lang w:val="en-US" w:eastAsia="zh-CN"/>
        </w:rPr>
        <w:t>130131198905230915</w:t>
      </w:r>
      <w:r>
        <w:rPr>
          <w:rFonts w:hint="eastAsia"/>
          <w:sz w:val="15"/>
          <w:szCs w:val="15"/>
        </w:rPr>
        <w:t xml:space="preserve">  </w:t>
      </w:r>
      <w:r>
        <w:rPr>
          <w:rFonts w:hint="eastAsia"/>
          <w:sz w:val="15"/>
          <w:szCs w:val="15"/>
          <w:lang w:val="en-US" w:eastAsia="zh-CN"/>
        </w:rPr>
        <w:t>冀A49141D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