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张净</w:t>
      </w:r>
      <w:r>
        <w:rPr>
          <w:rFonts w:hint="eastAsia"/>
          <w:sz w:val="15"/>
          <w:szCs w:val="15"/>
          <w:highlight w:val="none"/>
        </w:rPr>
        <w:t>，</w:t>
      </w:r>
      <w:r>
        <w:rPr>
          <w:rFonts w:hint="eastAsia"/>
          <w:sz w:val="15"/>
          <w:szCs w:val="15"/>
          <w:highlight w:val="none"/>
          <w:lang w:val="en-US" w:eastAsia="zh-CN"/>
        </w:rPr>
        <w:t>130131198812251223</w:t>
      </w:r>
      <w:r>
        <w:rPr>
          <w:rFonts w:hint="eastAsia"/>
          <w:sz w:val="15"/>
          <w:szCs w:val="15"/>
        </w:rPr>
        <w:t xml:space="preserve">  </w:t>
      </w:r>
      <w:r>
        <w:rPr>
          <w:rFonts w:hint="eastAsia"/>
          <w:sz w:val="15"/>
          <w:szCs w:val="15"/>
          <w:lang w:val="en-US" w:eastAsia="zh-CN"/>
        </w:rPr>
        <w:t>冀ALF641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