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周会杰</w:t>
      </w:r>
      <w:r>
        <w:rPr>
          <w:rFonts w:hint="eastAsia"/>
          <w:sz w:val="15"/>
          <w:szCs w:val="15"/>
          <w:highlight w:val="none"/>
        </w:rPr>
        <w:t>，</w:t>
      </w:r>
      <w:r>
        <w:rPr>
          <w:rFonts w:hint="eastAsia"/>
          <w:sz w:val="15"/>
          <w:szCs w:val="15"/>
          <w:highlight w:val="none"/>
          <w:lang w:val="en-US" w:eastAsia="zh-CN"/>
        </w:rPr>
        <w:t>130131198809273632</w:t>
      </w:r>
      <w:r>
        <w:rPr>
          <w:rFonts w:hint="eastAsia"/>
          <w:sz w:val="15"/>
          <w:szCs w:val="15"/>
        </w:rPr>
        <w:t xml:space="preserve">  </w:t>
      </w:r>
      <w:r>
        <w:rPr>
          <w:rFonts w:hint="eastAsia"/>
          <w:sz w:val="15"/>
          <w:szCs w:val="15"/>
          <w:lang w:val="en-US" w:eastAsia="zh-CN"/>
        </w:rPr>
        <w:t>冀A38380D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