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武振江</w:t>
      </w:r>
      <w:r>
        <w:rPr>
          <w:rFonts w:hint="eastAsia"/>
          <w:sz w:val="15"/>
          <w:szCs w:val="15"/>
          <w:highlight w:val="none"/>
        </w:rPr>
        <w:t>，</w:t>
      </w:r>
      <w:r>
        <w:rPr>
          <w:rFonts w:hint="eastAsia"/>
          <w:sz w:val="15"/>
          <w:szCs w:val="15"/>
          <w:highlight w:val="none"/>
          <w:lang w:val="en-US" w:eastAsia="zh-CN"/>
        </w:rPr>
        <w:t>130131198808081217</w:t>
      </w:r>
      <w:r>
        <w:rPr>
          <w:rFonts w:hint="eastAsia"/>
          <w:sz w:val="15"/>
          <w:szCs w:val="15"/>
        </w:rPr>
        <w:t xml:space="preserve">  </w:t>
      </w:r>
      <w:r>
        <w:rPr>
          <w:rFonts w:hint="eastAsia"/>
          <w:sz w:val="15"/>
          <w:szCs w:val="15"/>
          <w:lang w:val="en-US" w:eastAsia="zh-CN"/>
        </w:rPr>
        <w:t>沪A80980D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