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李彦龙</w:t>
      </w:r>
      <w:r>
        <w:rPr>
          <w:rFonts w:hint="eastAsia"/>
          <w:sz w:val="15"/>
          <w:szCs w:val="15"/>
          <w:highlight w:val="none"/>
        </w:rPr>
        <w:t>，</w:t>
      </w:r>
      <w:r>
        <w:rPr>
          <w:rFonts w:hint="eastAsia"/>
          <w:sz w:val="15"/>
          <w:szCs w:val="15"/>
          <w:highlight w:val="none"/>
          <w:lang w:val="en-US" w:eastAsia="zh-CN"/>
        </w:rPr>
        <w:t>130131198805275411</w:t>
      </w:r>
      <w:r>
        <w:rPr>
          <w:rFonts w:hint="eastAsia"/>
          <w:sz w:val="15"/>
          <w:szCs w:val="15"/>
        </w:rPr>
        <w:t xml:space="preserve">  </w:t>
      </w:r>
      <w:r>
        <w:rPr>
          <w:rFonts w:hint="eastAsia"/>
          <w:sz w:val="15"/>
          <w:szCs w:val="15"/>
          <w:lang w:val="en-US" w:eastAsia="zh-CN"/>
        </w:rPr>
        <w:t>晋C09951D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