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高利霞</w:t>
      </w:r>
      <w:r>
        <w:rPr>
          <w:rFonts w:hint="eastAsia"/>
          <w:sz w:val="15"/>
          <w:szCs w:val="15"/>
          <w:highlight w:val="none"/>
        </w:rPr>
        <w:t>，</w:t>
      </w:r>
      <w:r>
        <w:rPr>
          <w:rFonts w:hint="eastAsia"/>
          <w:sz w:val="15"/>
          <w:szCs w:val="15"/>
          <w:highlight w:val="none"/>
          <w:lang w:val="en-US" w:eastAsia="zh-CN"/>
        </w:rPr>
        <w:t>130131198805234222</w:t>
      </w:r>
      <w:r>
        <w:rPr>
          <w:rFonts w:hint="eastAsia"/>
          <w:sz w:val="15"/>
          <w:szCs w:val="15"/>
        </w:rPr>
        <w:t xml:space="preserve">  </w:t>
      </w:r>
      <w:r>
        <w:rPr>
          <w:rFonts w:hint="eastAsia"/>
          <w:sz w:val="15"/>
          <w:szCs w:val="15"/>
          <w:lang w:val="en-US" w:eastAsia="zh-CN"/>
        </w:rPr>
        <w:t>冀A2717Y</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