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贾二杰</w:t>
      </w:r>
      <w:r>
        <w:rPr>
          <w:rFonts w:hint="eastAsia"/>
          <w:sz w:val="15"/>
          <w:szCs w:val="15"/>
          <w:highlight w:val="none"/>
        </w:rPr>
        <w:t>，</w:t>
      </w:r>
      <w:r>
        <w:rPr>
          <w:rFonts w:hint="eastAsia"/>
          <w:sz w:val="15"/>
          <w:szCs w:val="15"/>
          <w:highlight w:val="none"/>
          <w:lang w:val="en-US" w:eastAsia="zh-CN"/>
        </w:rPr>
        <w:t>130131198801024519</w:t>
      </w:r>
      <w:r>
        <w:rPr>
          <w:rFonts w:hint="eastAsia"/>
          <w:sz w:val="15"/>
          <w:szCs w:val="15"/>
        </w:rPr>
        <w:t xml:space="preserve">  </w:t>
      </w:r>
      <w:r>
        <w:rPr>
          <w:rFonts w:hint="eastAsia"/>
          <w:sz w:val="15"/>
          <w:szCs w:val="15"/>
          <w:lang w:val="en-US" w:eastAsia="zh-CN"/>
        </w:rPr>
        <w:t>冀A360TA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