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商胜</w:t>
      </w:r>
      <w:r>
        <w:rPr>
          <w:rFonts w:hint="eastAsia"/>
          <w:sz w:val="15"/>
          <w:szCs w:val="15"/>
          <w:highlight w:val="none"/>
        </w:rPr>
        <w:t>，</w:t>
      </w:r>
      <w:r>
        <w:rPr>
          <w:rFonts w:hint="eastAsia"/>
          <w:sz w:val="15"/>
          <w:szCs w:val="15"/>
          <w:highlight w:val="none"/>
          <w:lang w:val="en-US" w:eastAsia="zh-CN"/>
        </w:rPr>
        <w:t>130131198711140014</w:t>
      </w:r>
      <w:r>
        <w:rPr>
          <w:rFonts w:hint="eastAsia"/>
          <w:sz w:val="15"/>
          <w:szCs w:val="15"/>
        </w:rPr>
        <w:t xml:space="preserve">  </w:t>
      </w:r>
      <w:r>
        <w:rPr>
          <w:rFonts w:hint="eastAsia"/>
          <w:sz w:val="15"/>
          <w:szCs w:val="15"/>
          <w:lang w:val="en-US" w:eastAsia="zh-CN"/>
        </w:rPr>
        <w:t>冀A02466D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