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梁乐乐</w:t>
      </w:r>
      <w:r>
        <w:rPr>
          <w:rFonts w:hint="eastAsia"/>
          <w:sz w:val="15"/>
          <w:szCs w:val="15"/>
          <w:highlight w:val="none"/>
        </w:rPr>
        <w:t>，</w:t>
      </w:r>
      <w:r>
        <w:rPr>
          <w:rFonts w:hint="eastAsia"/>
          <w:sz w:val="15"/>
          <w:szCs w:val="15"/>
          <w:highlight w:val="none"/>
          <w:lang w:val="en-US" w:eastAsia="zh-CN"/>
        </w:rPr>
        <w:t>130131198710015430</w:t>
      </w:r>
      <w:r>
        <w:rPr>
          <w:rFonts w:hint="eastAsia"/>
          <w:sz w:val="15"/>
          <w:szCs w:val="15"/>
        </w:rPr>
        <w:t xml:space="preserve">  </w:t>
      </w:r>
      <w:r>
        <w:rPr>
          <w:rFonts w:hint="eastAsia"/>
          <w:sz w:val="15"/>
          <w:szCs w:val="15"/>
          <w:lang w:val="en-US" w:eastAsia="zh-CN"/>
        </w:rPr>
        <w:t>冀A33577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