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孙平彦</w:t>
      </w:r>
      <w:r>
        <w:rPr>
          <w:rFonts w:hint="eastAsia"/>
          <w:sz w:val="15"/>
          <w:szCs w:val="15"/>
          <w:highlight w:val="none"/>
        </w:rPr>
        <w:t>，</w:t>
      </w:r>
      <w:r>
        <w:rPr>
          <w:rFonts w:hint="eastAsia"/>
          <w:sz w:val="15"/>
          <w:szCs w:val="15"/>
          <w:highlight w:val="none"/>
          <w:lang w:val="en-US" w:eastAsia="zh-CN"/>
        </w:rPr>
        <w:t>130131198705213627</w:t>
      </w:r>
      <w:r>
        <w:rPr>
          <w:rFonts w:hint="eastAsia"/>
          <w:sz w:val="15"/>
          <w:szCs w:val="15"/>
        </w:rPr>
        <w:t xml:space="preserve">  </w:t>
      </w:r>
      <w:r>
        <w:rPr>
          <w:rFonts w:hint="eastAsia"/>
          <w:sz w:val="15"/>
          <w:szCs w:val="15"/>
          <w:lang w:val="en-US" w:eastAsia="zh-CN"/>
        </w:rPr>
        <w:t>冀ALX005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