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赵亚龙</w:t>
      </w:r>
      <w:r>
        <w:rPr>
          <w:rFonts w:hint="eastAsia"/>
          <w:sz w:val="15"/>
          <w:szCs w:val="15"/>
          <w:highlight w:val="none"/>
        </w:rPr>
        <w:t>，</w:t>
      </w:r>
      <w:r>
        <w:rPr>
          <w:rFonts w:hint="eastAsia"/>
          <w:sz w:val="15"/>
          <w:szCs w:val="15"/>
          <w:highlight w:val="none"/>
          <w:lang w:val="en-US" w:eastAsia="zh-CN"/>
        </w:rPr>
        <w:t>130131198702245412</w:t>
      </w:r>
      <w:r>
        <w:rPr>
          <w:rFonts w:hint="eastAsia"/>
          <w:sz w:val="15"/>
          <w:szCs w:val="15"/>
        </w:rPr>
        <w:t xml:space="preserve">  </w:t>
      </w:r>
      <w:r>
        <w:rPr>
          <w:rFonts w:hint="eastAsia"/>
          <w:sz w:val="15"/>
          <w:szCs w:val="15"/>
          <w:lang w:val="en-US" w:eastAsia="zh-CN"/>
        </w:rPr>
        <w:t>冀A08852D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