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刘金龙</w:t>
      </w:r>
      <w:r>
        <w:rPr>
          <w:rFonts w:hint="eastAsia"/>
          <w:sz w:val="15"/>
          <w:szCs w:val="15"/>
          <w:highlight w:val="none"/>
        </w:rPr>
        <w:t>，</w:t>
      </w:r>
      <w:r>
        <w:rPr>
          <w:rFonts w:hint="eastAsia"/>
          <w:sz w:val="15"/>
          <w:szCs w:val="15"/>
          <w:highlight w:val="none"/>
          <w:lang w:val="en-US" w:eastAsia="zh-CN"/>
        </w:rPr>
        <w:t>130131198607191831</w:t>
      </w:r>
      <w:r>
        <w:rPr>
          <w:rFonts w:hint="eastAsia"/>
          <w:sz w:val="15"/>
          <w:szCs w:val="15"/>
        </w:rPr>
        <w:t xml:space="preserve">  </w:t>
      </w:r>
      <w:r>
        <w:rPr>
          <w:rFonts w:hint="eastAsia"/>
          <w:sz w:val="15"/>
          <w:szCs w:val="15"/>
          <w:lang w:val="en-US" w:eastAsia="zh-CN"/>
        </w:rPr>
        <w:t>冀A77393</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