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冯智红</w:t>
      </w:r>
      <w:r>
        <w:rPr>
          <w:rFonts w:hint="eastAsia"/>
          <w:sz w:val="15"/>
          <w:szCs w:val="15"/>
          <w:highlight w:val="none"/>
        </w:rPr>
        <w:t>，</w:t>
      </w:r>
      <w:r>
        <w:rPr>
          <w:rFonts w:hint="eastAsia"/>
          <w:sz w:val="15"/>
          <w:szCs w:val="15"/>
          <w:highlight w:val="none"/>
          <w:lang w:val="en-US" w:eastAsia="zh-CN"/>
        </w:rPr>
        <w:t>130131198601276340</w:t>
      </w:r>
      <w:r>
        <w:rPr>
          <w:rFonts w:hint="eastAsia"/>
          <w:sz w:val="15"/>
          <w:szCs w:val="15"/>
        </w:rPr>
        <w:t xml:space="preserve">  </w:t>
      </w:r>
      <w:r>
        <w:rPr>
          <w:rFonts w:hint="eastAsia"/>
          <w:sz w:val="15"/>
          <w:szCs w:val="15"/>
          <w:lang w:val="en-US" w:eastAsia="zh-CN"/>
        </w:rPr>
        <w:t>冀A49141D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