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盖二会</w:t>
      </w:r>
      <w:r>
        <w:rPr>
          <w:rFonts w:hint="eastAsia"/>
          <w:sz w:val="15"/>
          <w:szCs w:val="15"/>
          <w:highlight w:val="none"/>
        </w:rPr>
        <w:t>，</w:t>
      </w:r>
      <w:r>
        <w:rPr>
          <w:rFonts w:hint="eastAsia"/>
          <w:sz w:val="15"/>
          <w:szCs w:val="15"/>
          <w:highlight w:val="none"/>
          <w:lang w:val="en-US" w:eastAsia="zh-CN"/>
        </w:rPr>
        <w:t>130131198511210655</w:t>
      </w:r>
      <w:r>
        <w:rPr>
          <w:rFonts w:hint="eastAsia"/>
          <w:sz w:val="15"/>
          <w:szCs w:val="15"/>
        </w:rPr>
        <w:t xml:space="preserve">  </w:t>
      </w:r>
      <w:r>
        <w:rPr>
          <w:rFonts w:hint="eastAsia"/>
          <w:sz w:val="15"/>
          <w:szCs w:val="15"/>
          <w:lang w:val="en-US" w:eastAsia="zh-CN"/>
        </w:rPr>
        <w:t>冀A33292D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