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康新旺</w:t>
      </w:r>
      <w:r>
        <w:rPr>
          <w:rFonts w:hint="eastAsia"/>
          <w:sz w:val="15"/>
          <w:szCs w:val="15"/>
          <w:highlight w:val="none"/>
        </w:rPr>
        <w:t>，</w:t>
      </w:r>
      <w:r>
        <w:rPr>
          <w:rFonts w:hint="eastAsia"/>
          <w:sz w:val="15"/>
          <w:szCs w:val="15"/>
          <w:highlight w:val="none"/>
          <w:lang w:val="en-US" w:eastAsia="zh-CN"/>
        </w:rPr>
        <w:t>13013119850915421X</w:t>
      </w:r>
      <w:r>
        <w:rPr>
          <w:rFonts w:hint="eastAsia"/>
          <w:sz w:val="15"/>
          <w:szCs w:val="15"/>
        </w:rPr>
        <w:t xml:space="preserve">  </w:t>
      </w:r>
      <w:r>
        <w:rPr>
          <w:rFonts w:hint="eastAsia"/>
          <w:sz w:val="15"/>
          <w:szCs w:val="15"/>
          <w:lang w:val="en-US" w:eastAsia="zh-CN"/>
        </w:rPr>
        <w:t>冀A37180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