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史江卫</w:t>
      </w:r>
      <w:r>
        <w:rPr>
          <w:rFonts w:hint="eastAsia"/>
          <w:sz w:val="15"/>
          <w:szCs w:val="15"/>
          <w:highlight w:val="none"/>
        </w:rPr>
        <w:t>，</w:t>
      </w:r>
      <w:r>
        <w:rPr>
          <w:rFonts w:hint="eastAsia"/>
          <w:sz w:val="15"/>
          <w:szCs w:val="15"/>
          <w:highlight w:val="none"/>
          <w:lang w:val="en-US" w:eastAsia="zh-CN"/>
        </w:rPr>
        <w:t>130131198507234515</w:t>
      </w:r>
      <w:r>
        <w:rPr>
          <w:rFonts w:hint="eastAsia"/>
          <w:sz w:val="15"/>
          <w:szCs w:val="15"/>
        </w:rPr>
        <w:t xml:space="preserve">  </w:t>
      </w:r>
      <w:r>
        <w:rPr>
          <w:rFonts w:hint="eastAsia"/>
          <w:sz w:val="15"/>
          <w:szCs w:val="15"/>
          <w:lang w:val="en-US" w:eastAsia="zh-CN"/>
        </w:rPr>
        <w:t>冀AQ6351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