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周立云</w:t>
      </w:r>
      <w:r>
        <w:rPr>
          <w:rFonts w:hint="eastAsia"/>
          <w:sz w:val="15"/>
          <w:szCs w:val="15"/>
          <w:highlight w:val="none"/>
        </w:rPr>
        <w:t>，</w:t>
      </w:r>
      <w:r>
        <w:rPr>
          <w:rFonts w:hint="eastAsia"/>
          <w:sz w:val="15"/>
          <w:szCs w:val="15"/>
          <w:highlight w:val="none"/>
          <w:lang w:val="en-US" w:eastAsia="zh-CN"/>
        </w:rPr>
        <w:t>130131198505235717</w:t>
      </w:r>
      <w:r>
        <w:rPr>
          <w:rFonts w:hint="eastAsia"/>
          <w:sz w:val="15"/>
          <w:szCs w:val="15"/>
        </w:rPr>
        <w:t xml:space="preserve">  </w:t>
      </w:r>
      <w:r>
        <w:rPr>
          <w:rFonts w:hint="eastAsia"/>
          <w:sz w:val="15"/>
          <w:szCs w:val="15"/>
          <w:lang w:val="en-US" w:eastAsia="zh-CN"/>
        </w:rPr>
        <w:t>冀A45451</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