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盖江涛</w:t>
      </w:r>
      <w:r>
        <w:rPr>
          <w:rFonts w:hint="eastAsia"/>
          <w:sz w:val="15"/>
          <w:szCs w:val="15"/>
          <w:highlight w:val="none"/>
        </w:rPr>
        <w:t>，</w:t>
      </w:r>
      <w:r>
        <w:rPr>
          <w:rFonts w:hint="eastAsia"/>
          <w:sz w:val="15"/>
          <w:szCs w:val="15"/>
          <w:highlight w:val="none"/>
          <w:lang w:val="en-US" w:eastAsia="zh-CN"/>
        </w:rPr>
        <w:t>130131198504150615</w:t>
      </w:r>
      <w:r>
        <w:rPr>
          <w:rFonts w:hint="eastAsia"/>
          <w:sz w:val="15"/>
          <w:szCs w:val="15"/>
        </w:rPr>
        <w:t xml:space="preserve">  </w:t>
      </w:r>
      <w:r>
        <w:rPr>
          <w:rFonts w:hint="eastAsia"/>
          <w:sz w:val="15"/>
          <w:szCs w:val="15"/>
          <w:lang w:val="en-US" w:eastAsia="zh-CN"/>
        </w:rPr>
        <w:t>冀A32456D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