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左平利</w:t>
      </w:r>
      <w:r>
        <w:rPr>
          <w:rFonts w:hint="eastAsia"/>
          <w:sz w:val="15"/>
          <w:szCs w:val="15"/>
          <w:highlight w:val="none"/>
        </w:rPr>
        <w:t>，</w:t>
      </w:r>
      <w:r>
        <w:rPr>
          <w:rFonts w:hint="eastAsia"/>
          <w:sz w:val="15"/>
          <w:szCs w:val="15"/>
          <w:highlight w:val="none"/>
          <w:lang w:val="en-US" w:eastAsia="zh-CN"/>
        </w:rPr>
        <w:t>130131198503230015</w:t>
      </w:r>
      <w:r>
        <w:rPr>
          <w:rFonts w:hint="eastAsia"/>
          <w:sz w:val="15"/>
          <w:szCs w:val="15"/>
        </w:rPr>
        <w:t xml:space="preserve">  </w:t>
      </w:r>
      <w:r>
        <w:rPr>
          <w:rFonts w:hint="eastAsia"/>
          <w:sz w:val="15"/>
          <w:szCs w:val="15"/>
          <w:lang w:val="en-US" w:eastAsia="zh-CN"/>
        </w:rPr>
        <w:t>冀A2786Y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