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任彦刚</w:t>
      </w:r>
      <w:r>
        <w:rPr>
          <w:rFonts w:hint="eastAsia"/>
          <w:sz w:val="15"/>
          <w:szCs w:val="15"/>
          <w:highlight w:val="none"/>
        </w:rPr>
        <w:t>，</w:t>
      </w:r>
      <w:r>
        <w:rPr>
          <w:rFonts w:hint="eastAsia"/>
          <w:sz w:val="15"/>
          <w:szCs w:val="15"/>
          <w:highlight w:val="none"/>
          <w:lang w:val="en-US" w:eastAsia="zh-CN"/>
        </w:rPr>
        <w:t>130131198503151536</w:t>
      </w:r>
      <w:r>
        <w:rPr>
          <w:rFonts w:hint="eastAsia"/>
          <w:sz w:val="15"/>
          <w:szCs w:val="15"/>
        </w:rPr>
        <w:t xml:space="preserve">  </w:t>
      </w:r>
      <w:r>
        <w:rPr>
          <w:rFonts w:hint="eastAsia"/>
          <w:sz w:val="15"/>
          <w:szCs w:val="15"/>
          <w:lang w:val="en-US" w:eastAsia="zh-CN"/>
        </w:rPr>
        <w:t>冀A06046D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