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王成亮</w:t>
      </w:r>
      <w:r>
        <w:rPr>
          <w:rFonts w:hint="eastAsia"/>
          <w:sz w:val="15"/>
          <w:szCs w:val="15"/>
          <w:highlight w:val="none"/>
        </w:rPr>
        <w:t>，</w:t>
      </w:r>
      <w:r>
        <w:rPr>
          <w:rFonts w:hint="eastAsia"/>
          <w:sz w:val="15"/>
          <w:szCs w:val="15"/>
          <w:highlight w:val="none"/>
          <w:lang w:val="en-US" w:eastAsia="zh-CN"/>
        </w:rPr>
        <w:t>130131198503030056</w:t>
      </w:r>
      <w:r>
        <w:rPr>
          <w:rFonts w:hint="eastAsia"/>
          <w:sz w:val="15"/>
          <w:szCs w:val="15"/>
        </w:rPr>
        <w:t xml:space="preserve">  </w:t>
      </w:r>
      <w:r>
        <w:rPr>
          <w:rFonts w:hint="eastAsia"/>
          <w:sz w:val="15"/>
          <w:szCs w:val="15"/>
          <w:lang w:val="en-US" w:eastAsia="zh-CN"/>
        </w:rPr>
        <w:t>冀AF7107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