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栗建龙</w:t>
      </w:r>
      <w:r>
        <w:rPr>
          <w:rFonts w:hint="eastAsia"/>
          <w:sz w:val="15"/>
          <w:szCs w:val="15"/>
          <w:highlight w:val="none"/>
        </w:rPr>
        <w:t>，</w:t>
      </w:r>
      <w:r>
        <w:rPr>
          <w:rFonts w:hint="eastAsia"/>
          <w:sz w:val="15"/>
          <w:szCs w:val="15"/>
          <w:highlight w:val="none"/>
          <w:lang w:val="en-US" w:eastAsia="zh-CN"/>
        </w:rPr>
        <w:t>130131198412165430</w:t>
      </w:r>
      <w:r>
        <w:rPr>
          <w:rFonts w:hint="eastAsia"/>
          <w:sz w:val="15"/>
          <w:szCs w:val="15"/>
        </w:rPr>
        <w:t xml:space="preserve">  </w:t>
      </w:r>
      <w:r>
        <w:rPr>
          <w:rFonts w:hint="eastAsia"/>
          <w:sz w:val="15"/>
          <w:szCs w:val="15"/>
          <w:lang w:val="en-US" w:eastAsia="zh-CN"/>
        </w:rPr>
        <w:t>冀AL5499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