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张增颜</w:t>
      </w:r>
      <w:r>
        <w:rPr>
          <w:rFonts w:hint="eastAsia"/>
          <w:sz w:val="15"/>
          <w:szCs w:val="15"/>
          <w:highlight w:val="none"/>
        </w:rPr>
        <w:t>，</w:t>
      </w:r>
      <w:r>
        <w:rPr>
          <w:rFonts w:hint="eastAsia"/>
          <w:sz w:val="15"/>
          <w:szCs w:val="15"/>
          <w:highlight w:val="none"/>
          <w:lang w:val="en-US" w:eastAsia="zh-CN"/>
        </w:rPr>
        <w:t>130131198412083910</w:t>
      </w:r>
      <w:r>
        <w:rPr>
          <w:rFonts w:hint="eastAsia"/>
          <w:sz w:val="15"/>
          <w:szCs w:val="15"/>
        </w:rPr>
        <w:t xml:space="preserve">  </w:t>
      </w:r>
      <w:r>
        <w:rPr>
          <w:rFonts w:hint="eastAsia"/>
          <w:sz w:val="15"/>
          <w:szCs w:val="15"/>
          <w:lang w:val="en-US" w:eastAsia="zh-CN"/>
        </w:rPr>
        <w:t>沪A25186A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