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刘丽朝</w:t>
      </w:r>
      <w:r>
        <w:rPr>
          <w:rFonts w:hint="eastAsia"/>
          <w:sz w:val="15"/>
          <w:szCs w:val="15"/>
          <w:highlight w:val="none"/>
        </w:rPr>
        <w:t>，</w:t>
      </w:r>
      <w:r>
        <w:rPr>
          <w:rFonts w:hint="eastAsia"/>
          <w:sz w:val="15"/>
          <w:szCs w:val="15"/>
          <w:highlight w:val="none"/>
          <w:lang w:val="en-US" w:eastAsia="zh-CN"/>
        </w:rPr>
        <w:t>130131198408273316</w:t>
      </w:r>
      <w:r>
        <w:rPr>
          <w:rFonts w:hint="eastAsia"/>
          <w:sz w:val="15"/>
          <w:szCs w:val="15"/>
        </w:rPr>
        <w:t xml:space="preserve">  </w:t>
      </w:r>
      <w:r>
        <w:rPr>
          <w:rFonts w:hint="eastAsia"/>
          <w:sz w:val="15"/>
          <w:szCs w:val="15"/>
          <w:lang w:val="en-US" w:eastAsia="zh-CN"/>
        </w:rPr>
        <w:t>冀A24N79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