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冯素龙</w:t>
      </w:r>
      <w:r>
        <w:rPr>
          <w:rFonts w:hint="eastAsia"/>
          <w:sz w:val="15"/>
          <w:szCs w:val="15"/>
          <w:highlight w:val="none"/>
        </w:rPr>
        <w:t>，</w:t>
      </w:r>
      <w:r>
        <w:rPr>
          <w:rFonts w:hint="eastAsia"/>
          <w:sz w:val="15"/>
          <w:szCs w:val="15"/>
          <w:highlight w:val="none"/>
          <w:lang w:val="en-US" w:eastAsia="zh-CN"/>
        </w:rPr>
        <w:t>130131198305094518</w:t>
      </w:r>
      <w:r>
        <w:rPr>
          <w:rFonts w:hint="eastAsia"/>
          <w:sz w:val="15"/>
          <w:szCs w:val="15"/>
        </w:rPr>
        <w:t xml:space="preserve">  </w:t>
      </w:r>
      <w:r>
        <w:rPr>
          <w:rFonts w:hint="eastAsia"/>
          <w:sz w:val="15"/>
          <w:szCs w:val="15"/>
          <w:lang w:val="en-US" w:eastAsia="zh-CN"/>
        </w:rPr>
        <w:t>冀T07159D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