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王东生</w:t>
      </w:r>
      <w:r>
        <w:rPr>
          <w:rFonts w:hint="eastAsia"/>
          <w:sz w:val="15"/>
          <w:szCs w:val="15"/>
          <w:highlight w:val="none"/>
        </w:rPr>
        <w:t>，</w:t>
      </w:r>
      <w:r>
        <w:rPr>
          <w:rFonts w:hint="eastAsia"/>
          <w:sz w:val="15"/>
          <w:szCs w:val="15"/>
          <w:highlight w:val="none"/>
          <w:lang w:val="en-US" w:eastAsia="zh-CN"/>
        </w:rPr>
        <w:t>130131198209253937</w:t>
      </w:r>
      <w:r>
        <w:rPr>
          <w:rFonts w:hint="eastAsia"/>
          <w:sz w:val="15"/>
          <w:szCs w:val="15"/>
        </w:rPr>
        <w:t xml:space="preserve">  </w:t>
      </w:r>
      <w:r>
        <w:rPr>
          <w:rFonts w:hint="eastAsia"/>
          <w:sz w:val="15"/>
          <w:szCs w:val="15"/>
          <w:lang w:val="en-US" w:eastAsia="zh-CN"/>
        </w:rPr>
        <w:t>冀A84356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