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薛峰</w:t>
      </w:r>
      <w:r>
        <w:rPr>
          <w:rFonts w:hint="eastAsia"/>
          <w:sz w:val="15"/>
          <w:szCs w:val="15"/>
          <w:highlight w:val="none"/>
        </w:rPr>
        <w:t>，</w:t>
      </w:r>
      <w:r>
        <w:rPr>
          <w:rFonts w:hint="eastAsia"/>
          <w:sz w:val="15"/>
          <w:szCs w:val="15"/>
          <w:highlight w:val="none"/>
          <w:lang w:val="en-US" w:eastAsia="zh-CN"/>
        </w:rPr>
        <w:t>130131198208075710</w:t>
      </w:r>
      <w:r>
        <w:rPr>
          <w:rFonts w:hint="eastAsia"/>
          <w:sz w:val="15"/>
          <w:szCs w:val="15"/>
        </w:rPr>
        <w:t xml:space="preserve">  </w:t>
      </w:r>
      <w:r>
        <w:rPr>
          <w:rFonts w:hint="eastAsia"/>
          <w:sz w:val="15"/>
          <w:szCs w:val="15"/>
          <w:lang w:val="en-US" w:eastAsia="zh-CN"/>
        </w:rPr>
        <w:t>冀A2885C</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