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王二岗</w:t>
      </w:r>
      <w:r>
        <w:rPr>
          <w:rFonts w:hint="eastAsia"/>
          <w:sz w:val="15"/>
          <w:szCs w:val="15"/>
          <w:highlight w:val="none"/>
        </w:rPr>
        <w:t>，</w:t>
      </w:r>
      <w:r>
        <w:rPr>
          <w:rFonts w:hint="eastAsia"/>
          <w:sz w:val="15"/>
          <w:szCs w:val="15"/>
          <w:highlight w:val="none"/>
          <w:lang w:val="en-US" w:eastAsia="zh-CN"/>
        </w:rPr>
        <w:t>130131198204121556</w:t>
      </w:r>
      <w:r>
        <w:rPr>
          <w:rFonts w:hint="eastAsia"/>
          <w:sz w:val="15"/>
          <w:szCs w:val="15"/>
        </w:rPr>
        <w:t xml:space="preserve">  </w:t>
      </w:r>
      <w:r>
        <w:rPr>
          <w:rFonts w:hint="eastAsia"/>
          <w:sz w:val="15"/>
          <w:szCs w:val="15"/>
          <w:lang w:val="en-US" w:eastAsia="zh-CN"/>
        </w:rPr>
        <w:t>冀AP5672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