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刘丽霞</w:t>
      </w:r>
      <w:r>
        <w:rPr>
          <w:rFonts w:hint="eastAsia"/>
          <w:sz w:val="15"/>
          <w:szCs w:val="15"/>
          <w:highlight w:val="none"/>
        </w:rPr>
        <w:t>，</w:t>
      </w:r>
      <w:r>
        <w:rPr>
          <w:rFonts w:hint="eastAsia"/>
          <w:sz w:val="15"/>
          <w:szCs w:val="15"/>
          <w:highlight w:val="none"/>
          <w:lang w:val="en-US" w:eastAsia="zh-CN"/>
        </w:rPr>
        <w:t>130131198204081822</w:t>
      </w:r>
      <w:r>
        <w:rPr>
          <w:rFonts w:hint="eastAsia"/>
          <w:sz w:val="15"/>
          <w:szCs w:val="15"/>
        </w:rPr>
        <w:t xml:space="preserve">  </w:t>
      </w:r>
      <w:r>
        <w:rPr>
          <w:rFonts w:hint="eastAsia"/>
          <w:sz w:val="15"/>
          <w:szCs w:val="15"/>
          <w:lang w:val="en-US" w:eastAsia="zh-CN"/>
        </w:rPr>
        <w:t>沪A73138D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