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茹文彦</w:t>
      </w:r>
      <w:r>
        <w:rPr>
          <w:rFonts w:hint="eastAsia"/>
          <w:sz w:val="15"/>
          <w:szCs w:val="15"/>
          <w:highlight w:val="none"/>
        </w:rPr>
        <w:t>，</w:t>
      </w:r>
      <w:r>
        <w:rPr>
          <w:rFonts w:hint="eastAsia"/>
          <w:sz w:val="15"/>
          <w:szCs w:val="15"/>
          <w:highlight w:val="none"/>
          <w:lang w:val="en-US" w:eastAsia="zh-CN"/>
        </w:rPr>
        <w:t>130131198203284214</w:t>
      </w:r>
      <w:r>
        <w:rPr>
          <w:rFonts w:hint="eastAsia"/>
          <w:sz w:val="15"/>
          <w:szCs w:val="15"/>
        </w:rPr>
        <w:t xml:space="preserve">  </w:t>
      </w:r>
      <w:r>
        <w:rPr>
          <w:rFonts w:hint="eastAsia"/>
          <w:sz w:val="15"/>
          <w:szCs w:val="15"/>
          <w:lang w:val="en-US" w:eastAsia="zh-CN"/>
        </w:rPr>
        <w:t>冀A40525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