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高文虎</w:t>
      </w:r>
      <w:r>
        <w:rPr>
          <w:rFonts w:hint="eastAsia"/>
          <w:sz w:val="15"/>
          <w:szCs w:val="15"/>
          <w:highlight w:val="none"/>
        </w:rPr>
        <w:t>，</w:t>
      </w:r>
      <w:r>
        <w:rPr>
          <w:rFonts w:hint="eastAsia"/>
          <w:sz w:val="15"/>
          <w:szCs w:val="15"/>
          <w:highlight w:val="none"/>
          <w:lang w:val="en-US" w:eastAsia="zh-CN"/>
        </w:rPr>
        <w:t>130131198201260614</w:t>
      </w:r>
      <w:r>
        <w:rPr>
          <w:rFonts w:hint="eastAsia"/>
          <w:sz w:val="15"/>
          <w:szCs w:val="15"/>
        </w:rPr>
        <w:t xml:space="preserve">  </w:t>
      </w:r>
      <w:r>
        <w:rPr>
          <w:rFonts w:hint="eastAsia"/>
          <w:sz w:val="15"/>
          <w:szCs w:val="15"/>
          <w:lang w:val="en-US" w:eastAsia="zh-CN"/>
        </w:rPr>
        <w:t>冀A43400D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