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韩明子</w:t>
      </w:r>
      <w:r>
        <w:rPr>
          <w:rFonts w:hint="eastAsia"/>
          <w:sz w:val="15"/>
          <w:szCs w:val="15"/>
          <w:highlight w:val="none"/>
        </w:rPr>
        <w:t>，</w:t>
      </w:r>
      <w:r>
        <w:rPr>
          <w:rFonts w:hint="eastAsia"/>
          <w:sz w:val="15"/>
          <w:szCs w:val="15"/>
          <w:highlight w:val="none"/>
          <w:lang w:val="en-US" w:eastAsia="zh-CN"/>
        </w:rPr>
        <w:t>130131197905116317</w:t>
      </w:r>
      <w:r>
        <w:rPr>
          <w:rFonts w:hint="eastAsia"/>
          <w:sz w:val="15"/>
          <w:szCs w:val="15"/>
        </w:rPr>
        <w:t xml:space="preserve">  </w:t>
      </w:r>
      <w:r>
        <w:rPr>
          <w:rFonts w:hint="eastAsia"/>
          <w:sz w:val="15"/>
          <w:szCs w:val="15"/>
          <w:lang w:val="en-US" w:eastAsia="zh-CN"/>
        </w:rPr>
        <w:t>冀A80499</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