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张建刚</w:t>
      </w:r>
      <w:r>
        <w:rPr>
          <w:rFonts w:hint="eastAsia"/>
          <w:sz w:val="15"/>
          <w:szCs w:val="15"/>
          <w:highlight w:val="none"/>
        </w:rPr>
        <w:t>，</w:t>
      </w:r>
      <w:r>
        <w:rPr>
          <w:rFonts w:hint="eastAsia"/>
          <w:sz w:val="15"/>
          <w:szCs w:val="15"/>
          <w:highlight w:val="none"/>
          <w:lang w:val="en-US" w:eastAsia="zh-CN"/>
        </w:rPr>
        <w:t>130131197610240011</w:t>
      </w:r>
      <w:r>
        <w:rPr>
          <w:rFonts w:hint="eastAsia"/>
          <w:sz w:val="15"/>
          <w:szCs w:val="15"/>
        </w:rPr>
        <w:t xml:space="preserve">  </w:t>
      </w:r>
      <w:r>
        <w:rPr>
          <w:rFonts w:hint="eastAsia"/>
          <w:sz w:val="15"/>
          <w:szCs w:val="15"/>
          <w:lang w:val="en-US" w:eastAsia="zh-CN"/>
        </w:rPr>
        <w:t>冀A166C5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