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孙艳青</w:t>
      </w:r>
      <w:r>
        <w:rPr>
          <w:rFonts w:hint="eastAsia"/>
          <w:sz w:val="15"/>
          <w:szCs w:val="15"/>
          <w:highlight w:val="none"/>
        </w:rPr>
        <w:t>，</w:t>
      </w:r>
      <w:r>
        <w:rPr>
          <w:rFonts w:hint="eastAsia"/>
          <w:sz w:val="15"/>
          <w:szCs w:val="15"/>
          <w:highlight w:val="none"/>
          <w:lang w:val="en-US" w:eastAsia="zh-CN"/>
        </w:rPr>
        <w:t>130126199111133017</w:t>
      </w:r>
      <w:r>
        <w:rPr>
          <w:rFonts w:hint="eastAsia"/>
          <w:sz w:val="15"/>
          <w:szCs w:val="15"/>
        </w:rPr>
        <w:t xml:space="preserve">  </w:t>
      </w:r>
      <w:r>
        <w:rPr>
          <w:rFonts w:hint="eastAsia"/>
          <w:sz w:val="15"/>
          <w:szCs w:val="15"/>
          <w:lang w:val="en-US" w:eastAsia="zh-CN"/>
        </w:rPr>
        <w:t>沪A27857A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