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赵宏伟</w:t>
      </w:r>
      <w:r>
        <w:rPr>
          <w:rFonts w:hint="eastAsia"/>
          <w:sz w:val="15"/>
          <w:szCs w:val="15"/>
          <w:highlight w:val="none"/>
        </w:rPr>
        <w:t>，</w:t>
      </w:r>
      <w:r>
        <w:rPr>
          <w:rFonts w:hint="eastAsia"/>
          <w:sz w:val="15"/>
          <w:szCs w:val="15"/>
          <w:highlight w:val="none"/>
          <w:lang w:val="en-US" w:eastAsia="zh-CN"/>
        </w:rPr>
        <w:t>130126199109012718</w:t>
      </w:r>
      <w:r>
        <w:rPr>
          <w:rFonts w:hint="eastAsia"/>
          <w:sz w:val="15"/>
          <w:szCs w:val="15"/>
        </w:rPr>
        <w:t xml:space="preserve">  </w:t>
      </w:r>
      <w:r>
        <w:rPr>
          <w:rFonts w:hint="eastAsia"/>
          <w:sz w:val="15"/>
          <w:szCs w:val="15"/>
          <w:lang w:val="en-US" w:eastAsia="zh-CN"/>
        </w:rPr>
        <w:t>冀AKV380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