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王利佳</w:t>
      </w:r>
      <w:r>
        <w:rPr>
          <w:rFonts w:hint="eastAsia"/>
          <w:sz w:val="15"/>
          <w:szCs w:val="15"/>
          <w:highlight w:val="none"/>
        </w:rPr>
        <w:t>，</w:t>
      </w:r>
      <w:r>
        <w:rPr>
          <w:rFonts w:hint="eastAsia"/>
          <w:sz w:val="15"/>
          <w:szCs w:val="15"/>
          <w:highlight w:val="none"/>
          <w:lang w:val="en-US" w:eastAsia="zh-CN"/>
        </w:rPr>
        <w:t>130126199106250016</w:t>
      </w:r>
      <w:r>
        <w:rPr>
          <w:rFonts w:hint="eastAsia"/>
          <w:sz w:val="15"/>
          <w:szCs w:val="15"/>
        </w:rPr>
        <w:t xml:space="preserve">  </w:t>
      </w:r>
      <w:r>
        <w:rPr>
          <w:rFonts w:hint="eastAsia"/>
          <w:sz w:val="15"/>
          <w:szCs w:val="15"/>
          <w:lang w:val="en-US" w:eastAsia="zh-CN"/>
        </w:rPr>
        <w:t>冀AXT266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