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孙杰</w:t>
      </w:r>
      <w:r>
        <w:rPr>
          <w:rFonts w:hint="eastAsia"/>
          <w:sz w:val="15"/>
          <w:szCs w:val="15"/>
          <w:highlight w:val="none"/>
        </w:rPr>
        <w:t>，</w:t>
      </w:r>
      <w:r>
        <w:rPr>
          <w:rFonts w:hint="eastAsia"/>
          <w:sz w:val="15"/>
          <w:szCs w:val="15"/>
          <w:highlight w:val="none"/>
          <w:lang w:val="en-US" w:eastAsia="zh-CN"/>
        </w:rPr>
        <w:t>130126198810040974</w:t>
      </w:r>
      <w:r>
        <w:rPr>
          <w:rFonts w:hint="eastAsia"/>
          <w:sz w:val="15"/>
          <w:szCs w:val="15"/>
        </w:rPr>
        <w:t xml:space="preserve">  </w:t>
      </w:r>
      <w:r>
        <w:rPr>
          <w:rFonts w:hint="eastAsia"/>
          <w:sz w:val="15"/>
          <w:szCs w:val="15"/>
          <w:lang w:val="en-US" w:eastAsia="zh-CN"/>
        </w:rPr>
        <w:t>冀AQ5991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