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索燕军</w:t>
      </w:r>
      <w:r>
        <w:rPr>
          <w:rFonts w:hint="eastAsia"/>
          <w:sz w:val="15"/>
          <w:szCs w:val="15"/>
          <w:highlight w:val="none"/>
        </w:rPr>
        <w:t>，</w:t>
      </w:r>
      <w:r>
        <w:rPr>
          <w:rFonts w:hint="eastAsia"/>
          <w:sz w:val="15"/>
          <w:szCs w:val="15"/>
          <w:highlight w:val="none"/>
          <w:lang w:val="en-US" w:eastAsia="zh-CN"/>
        </w:rPr>
        <w:t>130126198806263016</w:t>
      </w:r>
      <w:r>
        <w:rPr>
          <w:rFonts w:hint="eastAsia"/>
          <w:sz w:val="15"/>
          <w:szCs w:val="15"/>
        </w:rPr>
        <w:t xml:space="preserve">  </w:t>
      </w:r>
      <w:r>
        <w:rPr>
          <w:rFonts w:hint="eastAsia"/>
          <w:sz w:val="15"/>
          <w:szCs w:val="15"/>
          <w:lang w:val="en-US" w:eastAsia="zh-CN"/>
        </w:rPr>
        <w:t>冀AH5572</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