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杨富龙</w:t>
      </w:r>
      <w:r>
        <w:rPr>
          <w:rFonts w:hint="eastAsia"/>
          <w:sz w:val="15"/>
          <w:szCs w:val="15"/>
          <w:highlight w:val="none"/>
        </w:rPr>
        <w:t>，</w:t>
      </w:r>
      <w:r>
        <w:rPr>
          <w:rFonts w:hint="eastAsia"/>
          <w:sz w:val="15"/>
          <w:szCs w:val="15"/>
          <w:highlight w:val="none"/>
          <w:lang w:val="en-US" w:eastAsia="zh-CN"/>
        </w:rPr>
        <w:t>130126198805220911</w:t>
      </w:r>
      <w:r>
        <w:rPr>
          <w:rFonts w:hint="eastAsia"/>
          <w:sz w:val="15"/>
          <w:szCs w:val="15"/>
        </w:rPr>
        <w:t xml:space="preserve">  </w:t>
      </w:r>
      <w:r>
        <w:rPr>
          <w:rFonts w:hint="eastAsia"/>
          <w:sz w:val="15"/>
          <w:szCs w:val="15"/>
          <w:lang w:val="en-US" w:eastAsia="zh-CN"/>
        </w:rPr>
        <w:t>冀AHM951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