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张晓丰</w:t>
      </w:r>
      <w:r>
        <w:rPr>
          <w:rFonts w:hint="eastAsia"/>
          <w:sz w:val="15"/>
          <w:szCs w:val="15"/>
          <w:highlight w:val="none"/>
        </w:rPr>
        <w:t>，</w:t>
      </w:r>
      <w:r>
        <w:rPr>
          <w:rFonts w:hint="eastAsia"/>
          <w:sz w:val="15"/>
          <w:szCs w:val="15"/>
          <w:highlight w:val="none"/>
          <w:lang w:val="en-US" w:eastAsia="zh-CN"/>
        </w:rPr>
        <w:t>130126198805102712</w:t>
      </w:r>
      <w:r>
        <w:rPr>
          <w:rFonts w:hint="eastAsia"/>
          <w:sz w:val="15"/>
          <w:szCs w:val="15"/>
        </w:rPr>
        <w:t xml:space="preserve">  </w:t>
      </w:r>
      <w:r>
        <w:rPr>
          <w:rFonts w:hint="eastAsia"/>
          <w:sz w:val="15"/>
          <w:szCs w:val="15"/>
          <w:lang w:val="en-US" w:eastAsia="zh-CN"/>
        </w:rPr>
        <w:t>冀AB8280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