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马利秋</w:t>
      </w:r>
      <w:r>
        <w:rPr>
          <w:rFonts w:hint="eastAsia"/>
          <w:sz w:val="15"/>
          <w:szCs w:val="15"/>
          <w:highlight w:val="none"/>
        </w:rPr>
        <w:t>，</w:t>
      </w:r>
      <w:r>
        <w:rPr>
          <w:rFonts w:hint="eastAsia"/>
          <w:sz w:val="15"/>
          <w:szCs w:val="15"/>
          <w:highlight w:val="none"/>
          <w:lang w:val="en-US" w:eastAsia="zh-CN"/>
        </w:rPr>
        <w:t>130126198706143017</w:t>
      </w:r>
      <w:r>
        <w:rPr>
          <w:rFonts w:hint="eastAsia"/>
          <w:sz w:val="15"/>
          <w:szCs w:val="15"/>
        </w:rPr>
        <w:t xml:space="preserve">  </w:t>
      </w:r>
      <w:r>
        <w:rPr>
          <w:rFonts w:hint="eastAsia"/>
          <w:sz w:val="15"/>
          <w:szCs w:val="15"/>
          <w:lang w:val="en-US" w:eastAsia="zh-CN"/>
        </w:rPr>
        <w:t>冀A5S715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