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宋建勇</w:t>
      </w:r>
      <w:r>
        <w:rPr>
          <w:rFonts w:hint="eastAsia"/>
          <w:sz w:val="15"/>
          <w:szCs w:val="15"/>
          <w:highlight w:val="none"/>
        </w:rPr>
        <w:t>，</w:t>
      </w:r>
      <w:r>
        <w:rPr>
          <w:rFonts w:hint="eastAsia"/>
          <w:sz w:val="15"/>
          <w:szCs w:val="15"/>
          <w:highlight w:val="none"/>
          <w:lang w:val="en-US" w:eastAsia="zh-CN"/>
        </w:rPr>
        <w:t>130126198702253016</w:t>
      </w:r>
      <w:r>
        <w:rPr>
          <w:rFonts w:hint="eastAsia"/>
          <w:sz w:val="15"/>
          <w:szCs w:val="15"/>
        </w:rPr>
        <w:t xml:space="preserve">  </w:t>
      </w:r>
      <w:r>
        <w:rPr>
          <w:rFonts w:hint="eastAsia"/>
          <w:sz w:val="15"/>
          <w:szCs w:val="15"/>
          <w:lang w:val="en-US" w:eastAsia="zh-CN"/>
        </w:rPr>
        <w:t>冀A0H484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