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白利杰</w:t>
      </w:r>
      <w:r>
        <w:rPr>
          <w:rFonts w:hint="eastAsia"/>
          <w:sz w:val="15"/>
          <w:szCs w:val="15"/>
          <w:highlight w:val="none"/>
        </w:rPr>
        <w:t>，</w:t>
      </w:r>
      <w:r>
        <w:rPr>
          <w:rFonts w:hint="eastAsia"/>
          <w:sz w:val="15"/>
          <w:szCs w:val="15"/>
          <w:highlight w:val="none"/>
          <w:lang w:val="en-US" w:eastAsia="zh-CN"/>
        </w:rPr>
        <w:t>130126198609010319</w:t>
      </w:r>
      <w:r>
        <w:rPr>
          <w:rFonts w:hint="eastAsia"/>
          <w:sz w:val="15"/>
          <w:szCs w:val="15"/>
        </w:rPr>
        <w:t xml:space="preserve">  </w:t>
      </w:r>
      <w:r>
        <w:rPr>
          <w:rFonts w:hint="eastAsia"/>
          <w:sz w:val="15"/>
          <w:szCs w:val="15"/>
          <w:lang w:val="en-US" w:eastAsia="zh-CN"/>
        </w:rPr>
        <w:t>冀AX7705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