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鲍娟</w:t>
      </w:r>
      <w:r>
        <w:rPr>
          <w:rFonts w:hint="eastAsia"/>
          <w:sz w:val="15"/>
          <w:szCs w:val="15"/>
          <w:highlight w:val="none"/>
        </w:rPr>
        <w:t>，</w:t>
      </w:r>
      <w:r>
        <w:rPr>
          <w:rFonts w:hint="eastAsia"/>
          <w:sz w:val="15"/>
          <w:szCs w:val="15"/>
          <w:highlight w:val="none"/>
          <w:lang w:val="en-US" w:eastAsia="zh-CN"/>
        </w:rPr>
        <w:t>130126198607263929</w:t>
      </w:r>
      <w:r>
        <w:rPr>
          <w:rFonts w:hint="eastAsia"/>
          <w:sz w:val="15"/>
          <w:szCs w:val="15"/>
        </w:rPr>
        <w:t xml:space="preserve">  </w:t>
      </w:r>
      <w:r>
        <w:rPr>
          <w:rFonts w:hint="eastAsia"/>
          <w:sz w:val="15"/>
          <w:szCs w:val="15"/>
          <w:lang w:val="en-US" w:eastAsia="zh-CN"/>
        </w:rPr>
        <w:t>冀ABV244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