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董会朝</w:t>
      </w:r>
      <w:r>
        <w:rPr>
          <w:rFonts w:hint="eastAsia"/>
          <w:sz w:val="15"/>
          <w:szCs w:val="15"/>
          <w:highlight w:val="none"/>
        </w:rPr>
        <w:t>，</w:t>
      </w:r>
      <w:r>
        <w:rPr>
          <w:rFonts w:hint="eastAsia"/>
          <w:sz w:val="15"/>
          <w:szCs w:val="15"/>
          <w:highlight w:val="none"/>
          <w:lang w:val="en-US" w:eastAsia="zh-CN"/>
        </w:rPr>
        <w:t>130126198607012732</w:t>
      </w:r>
      <w:r>
        <w:rPr>
          <w:rFonts w:hint="eastAsia"/>
          <w:sz w:val="15"/>
          <w:szCs w:val="15"/>
        </w:rPr>
        <w:t xml:space="preserve">  </w:t>
      </w:r>
      <w:r>
        <w:rPr>
          <w:rFonts w:hint="eastAsia"/>
          <w:sz w:val="15"/>
          <w:szCs w:val="15"/>
          <w:lang w:val="en-US" w:eastAsia="zh-CN"/>
        </w:rPr>
        <w:t>冀A8729Y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