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赵学敏</w:t>
      </w:r>
      <w:r>
        <w:rPr>
          <w:rFonts w:hint="eastAsia"/>
          <w:sz w:val="15"/>
          <w:szCs w:val="15"/>
          <w:highlight w:val="none"/>
        </w:rPr>
        <w:t>，</w:t>
      </w:r>
      <w:r>
        <w:rPr>
          <w:rFonts w:hint="eastAsia"/>
          <w:sz w:val="15"/>
          <w:szCs w:val="15"/>
          <w:highlight w:val="none"/>
          <w:lang w:val="en-US" w:eastAsia="zh-CN"/>
        </w:rPr>
        <w:t>13012619860120272X</w:t>
      </w:r>
      <w:r>
        <w:rPr>
          <w:rFonts w:hint="eastAsia"/>
          <w:sz w:val="15"/>
          <w:szCs w:val="15"/>
        </w:rPr>
        <w:t xml:space="preserve">  </w:t>
      </w:r>
      <w:r>
        <w:rPr>
          <w:rFonts w:hint="eastAsia"/>
          <w:sz w:val="15"/>
          <w:szCs w:val="15"/>
          <w:lang w:val="en-US" w:eastAsia="zh-CN"/>
        </w:rPr>
        <w:t>冀A3782U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