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索明杰</w:t>
      </w:r>
      <w:r>
        <w:rPr>
          <w:rFonts w:hint="eastAsia"/>
          <w:sz w:val="15"/>
          <w:szCs w:val="15"/>
          <w:highlight w:val="none"/>
        </w:rPr>
        <w:t>，</w:t>
      </w:r>
      <w:r>
        <w:rPr>
          <w:rFonts w:hint="eastAsia"/>
          <w:sz w:val="15"/>
          <w:szCs w:val="15"/>
          <w:highlight w:val="none"/>
          <w:lang w:val="en-US" w:eastAsia="zh-CN"/>
        </w:rPr>
        <w:t>130126198511093013</w:t>
      </w:r>
      <w:r>
        <w:rPr>
          <w:rFonts w:hint="eastAsia"/>
          <w:sz w:val="15"/>
          <w:szCs w:val="15"/>
        </w:rPr>
        <w:t xml:space="preserve">  </w:t>
      </w:r>
      <w:r>
        <w:rPr>
          <w:rFonts w:hint="eastAsia"/>
          <w:sz w:val="15"/>
          <w:szCs w:val="15"/>
          <w:lang w:val="en-US" w:eastAsia="zh-CN"/>
        </w:rPr>
        <w:t>冀AL4606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