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宋建风</w:t>
      </w:r>
      <w:r>
        <w:rPr>
          <w:rFonts w:hint="eastAsia"/>
          <w:sz w:val="15"/>
          <w:szCs w:val="15"/>
          <w:highlight w:val="none"/>
        </w:rPr>
        <w:t>，</w:t>
      </w:r>
      <w:r>
        <w:rPr>
          <w:rFonts w:hint="eastAsia"/>
          <w:sz w:val="15"/>
          <w:szCs w:val="15"/>
          <w:highlight w:val="none"/>
          <w:lang w:val="en-US" w:eastAsia="zh-CN"/>
        </w:rPr>
        <w:t>130126198504013011</w:t>
      </w:r>
      <w:r>
        <w:rPr>
          <w:rFonts w:hint="eastAsia"/>
          <w:sz w:val="15"/>
          <w:szCs w:val="15"/>
        </w:rPr>
        <w:t xml:space="preserve">  </w:t>
      </w:r>
      <w:r>
        <w:rPr>
          <w:rFonts w:hint="eastAsia"/>
          <w:sz w:val="15"/>
          <w:szCs w:val="15"/>
          <w:lang w:val="en-US" w:eastAsia="zh-CN"/>
        </w:rPr>
        <w:t>冀AX8143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